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line="600" w:lineRule="exact"/>
        <w:ind w:left="94" w:leftChars="45" w:right="55" w:rightChars="26"/>
        <w:jc w:val="distribute"/>
        <w:rPr>
          <w:rFonts w:hint="eastAsia" w:ascii="宋体" w:hAnsi="宋体" w:eastAsia="方正小标宋简体"/>
          <w:color w:val="FF0000"/>
          <w:w w:val="75"/>
          <w:sz w:val="50"/>
          <w:szCs w:val="50"/>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卫生健康</w:t>
      </w:r>
      <w:r>
        <w:rPr>
          <w:rFonts w:hint="eastAsia" w:ascii="宋体" w:hAnsi="宋体"/>
          <w:color w:val="FF0000"/>
          <w:w w:val="75"/>
          <w:sz w:val="50"/>
          <w:szCs w:val="50"/>
          <w:lang w:val="en-US" w:eastAsia="zh-CN"/>
        </w:rPr>
        <w:t>局</w:t>
      </w:r>
    </w:p>
    <w:p>
      <w:pPr>
        <w:pStyle w:val="2"/>
        <w:snapToGrid/>
        <w:spacing w:line="600" w:lineRule="exact"/>
        <w:ind w:left="94" w:leftChars="45" w:right="55" w:rightChars="26"/>
        <w:jc w:val="distribute"/>
        <w:rPr>
          <w:rFonts w:ascii="宋体" w:hAnsi="宋体"/>
          <w:color w:val="FF0000"/>
          <w:w w:val="75"/>
          <w:sz w:val="50"/>
          <w:szCs w:val="50"/>
        </w:rPr>
      </w:pPr>
      <w:r>
        <w:rPr>
          <w:rFonts w:hint="eastAsia" w:ascii="宋体" w:hAnsi="宋体"/>
          <w:color w:val="FF0000"/>
          <w:w w:val="75"/>
          <w:sz w:val="50"/>
          <w:szCs w:val="50"/>
          <w:lang w:val="en-US" w:eastAsia="zh-CN"/>
        </w:rPr>
        <w:t>中共滕州</w:t>
      </w:r>
      <w:r>
        <w:rPr>
          <w:rFonts w:hint="eastAsia" w:ascii="宋体" w:hAnsi="宋体"/>
          <w:color w:val="FF0000"/>
          <w:w w:val="75"/>
          <w:sz w:val="50"/>
          <w:szCs w:val="50"/>
          <w:lang w:eastAsia="zh-CN"/>
        </w:rPr>
        <w:t>市</w:t>
      </w:r>
      <w:r>
        <w:rPr>
          <w:rFonts w:hint="eastAsia" w:ascii="宋体" w:hAnsi="宋体"/>
          <w:color w:val="FF0000"/>
          <w:w w:val="75"/>
          <w:sz w:val="50"/>
          <w:szCs w:val="50"/>
        </w:rPr>
        <w:t>委政法委员会</w:t>
      </w:r>
    </w:p>
    <w:p>
      <w:pPr>
        <w:pStyle w:val="2"/>
        <w:snapToGrid/>
        <w:spacing w:line="600" w:lineRule="exact"/>
        <w:ind w:left="94" w:leftChars="45" w:right="55" w:rightChars="26"/>
        <w:jc w:val="distribute"/>
        <w:rPr>
          <w:rFonts w:ascii="宋体" w:hAnsi="宋体"/>
          <w:color w:val="FF0000"/>
          <w:w w:val="75"/>
          <w:sz w:val="50"/>
          <w:szCs w:val="50"/>
        </w:rPr>
      </w:pPr>
      <w:r>
        <w:rPr>
          <w:rFonts w:hint="eastAsia" w:ascii="宋体" w:hAnsi="宋体"/>
          <w:color w:val="FF0000"/>
          <w:w w:val="75"/>
          <w:sz w:val="50"/>
          <w:szCs w:val="50"/>
          <w:lang w:val="en-US" w:eastAsia="zh-CN"/>
        </w:rPr>
        <w:t>中共滕州</w:t>
      </w:r>
      <w:r>
        <w:rPr>
          <w:rFonts w:hint="eastAsia" w:ascii="宋体" w:hAnsi="宋体"/>
          <w:color w:val="FF0000"/>
          <w:w w:val="75"/>
          <w:sz w:val="50"/>
          <w:szCs w:val="50"/>
          <w:lang w:eastAsia="zh-CN"/>
        </w:rPr>
        <w:t>市</w:t>
      </w:r>
      <w:r>
        <w:rPr>
          <w:rFonts w:hint="eastAsia" w:ascii="宋体" w:hAnsi="宋体"/>
          <w:color w:val="FF0000"/>
          <w:w w:val="75"/>
          <w:sz w:val="50"/>
          <w:szCs w:val="50"/>
        </w:rPr>
        <w:t>委网信办</w:t>
      </w:r>
    </w:p>
    <w:p>
      <w:pPr>
        <w:pStyle w:val="2"/>
        <w:snapToGrid/>
        <w:spacing w:line="600" w:lineRule="exact"/>
        <w:ind w:left="94" w:leftChars="45" w:right="55" w:rightChars="26"/>
        <w:jc w:val="distribute"/>
        <w:rPr>
          <w:rFonts w:ascii="宋体" w:hAnsi="宋体"/>
          <w:color w:val="FF0000"/>
          <w:w w:val="75"/>
          <w:sz w:val="50"/>
          <w:szCs w:val="50"/>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人民法院</w:t>
      </w:r>
    </w:p>
    <w:p>
      <w:pPr>
        <w:pStyle w:val="2"/>
        <w:snapToGrid/>
        <w:spacing w:line="600" w:lineRule="exact"/>
        <w:ind w:left="94" w:leftChars="45" w:right="55" w:rightChars="26"/>
        <w:jc w:val="distribute"/>
        <w:rPr>
          <w:rFonts w:ascii="宋体" w:hAnsi="宋体"/>
          <w:color w:val="FF0000"/>
          <w:w w:val="75"/>
          <w:sz w:val="50"/>
          <w:szCs w:val="50"/>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人民检察院</w:t>
      </w:r>
    </w:p>
    <w:p>
      <w:pPr>
        <w:pStyle w:val="2"/>
        <w:snapToGrid/>
        <w:spacing w:line="600" w:lineRule="exact"/>
        <w:ind w:left="94" w:leftChars="45" w:right="55" w:rightChars="26"/>
        <w:jc w:val="distribute"/>
        <w:rPr>
          <w:rFonts w:hint="eastAsia" w:eastAsia="方正小标宋简体"/>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教育</w:t>
      </w:r>
      <w:r>
        <w:rPr>
          <w:rFonts w:hint="eastAsia" w:ascii="宋体" w:hAnsi="宋体"/>
          <w:color w:val="FF0000"/>
          <w:w w:val="75"/>
          <w:sz w:val="50"/>
          <w:szCs w:val="50"/>
          <w:lang w:val="en-US" w:eastAsia="zh-CN"/>
        </w:rPr>
        <w:t>和体育</w:t>
      </w:r>
      <w:r>
        <w:rPr>
          <w:rFonts w:hint="eastAsia" w:ascii="宋体" w:hAnsi="宋体"/>
          <w:color w:val="FF0000"/>
          <w:w w:val="75"/>
          <w:sz w:val="50"/>
          <w:szCs w:val="50"/>
          <w:lang w:eastAsia="zh-CN"/>
        </w:rPr>
        <w:t>局</w:t>
      </w:r>
    </w:p>
    <w:p>
      <w:pPr>
        <w:pStyle w:val="2"/>
        <w:snapToGrid/>
        <w:spacing w:line="600" w:lineRule="exact"/>
        <w:ind w:left="94" w:leftChars="45" w:right="55" w:rightChars="26"/>
        <w:jc w:val="distribute"/>
        <w:rPr>
          <w:rFonts w:hint="eastAsia" w:ascii="宋体" w:hAnsi="宋体" w:eastAsia="方正小标宋简体"/>
          <w:color w:val="FF0000"/>
          <w:w w:val="75"/>
          <w:sz w:val="50"/>
          <w:szCs w:val="50"/>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公安</w:t>
      </w:r>
      <w:r>
        <w:rPr>
          <w:rFonts w:hint="eastAsia" w:ascii="宋体" w:hAnsi="宋体"/>
          <w:color w:val="FF0000"/>
          <w:w w:val="75"/>
          <w:sz w:val="50"/>
          <w:szCs w:val="50"/>
          <w:lang w:eastAsia="zh-CN"/>
        </w:rPr>
        <w:t>局</w:t>
      </w:r>
    </w:p>
    <w:p>
      <w:pPr>
        <w:pStyle w:val="2"/>
        <w:snapToGrid/>
        <w:spacing w:line="600" w:lineRule="exact"/>
        <w:ind w:left="94" w:leftChars="45" w:right="55" w:rightChars="26"/>
        <w:jc w:val="distribute"/>
        <w:rPr>
          <w:rFonts w:hint="eastAsia" w:ascii="宋体" w:hAnsi="宋体" w:eastAsia="方正小标宋简体"/>
          <w:color w:val="FF0000"/>
          <w:w w:val="75"/>
          <w:sz w:val="50"/>
          <w:szCs w:val="50"/>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w:t>
      </w:r>
      <w:r>
        <w:rPr>
          <w:rFonts w:hint="eastAsia" w:ascii="宋体" w:hAnsi="宋体"/>
          <w:color w:val="FF0000"/>
          <w:w w:val="75"/>
          <w:sz w:val="50"/>
          <w:szCs w:val="50"/>
        </w:rPr>
        <w:t>民政</w:t>
      </w:r>
      <w:r>
        <w:rPr>
          <w:rFonts w:hint="eastAsia" w:ascii="宋体" w:hAnsi="宋体"/>
          <w:color w:val="FF0000"/>
          <w:w w:val="75"/>
          <w:sz w:val="50"/>
          <w:szCs w:val="50"/>
          <w:lang w:eastAsia="zh-CN"/>
        </w:rPr>
        <w:t>局</w:t>
      </w:r>
    </w:p>
    <w:p>
      <w:pPr>
        <w:pStyle w:val="2"/>
        <w:snapToGrid/>
        <w:spacing w:line="600" w:lineRule="exact"/>
        <w:ind w:left="94" w:leftChars="45" w:right="55" w:rightChars="26"/>
        <w:jc w:val="distribute"/>
        <w:rPr>
          <w:rFonts w:ascii="宋体" w:hAnsi="宋体"/>
          <w:color w:val="FF0000"/>
          <w:w w:val="75"/>
          <w:sz w:val="50"/>
          <w:szCs w:val="50"/>
        </w:rPr>
      </w:pPr>
      <w:r>
        <w:rPr>
          <w:rFonts w:hint="eastAsia" w:ascii="宋体" w:hAnsi="宋体"/>
          <w:color w:val="FF0000"/>
          <w:w w:val="75"/>
          <w:sz w:val="50"/>
          <w:szCs w:val="50"/>
          <w:lang w:val="en-US" w:eastAsia="zh-CN"/>
        </w:rPr>
        <w:t>滕州市</w:t>
      </w:r>
      <w:r>
        <w:rPr>
          <w:rFonts w:hint="eastAsia" w:ascii="宋体" w:hAnsi="宋体"/>
          <w:color w:val="FF0000"/>
          <w:w w:val="75"/>
          <w:sz w:val="50"/>
          <w:szCs w:val="50"/>
        </w:rPr>
        <w:t>市场监督管理局</w:t>
      </w:r>
    </w:p>
    <w:p>
      <w:pPr>
        <w:pStyle w:val="2"/>
        <w:snapToGrid/>
        <w:spacing w:line="600" w:lineRule="exact"/>
        <w:ind w:left="94" w:leftChars="45" w:right="55" w:rightChars="26"/>
        <w:jc w:val="distribute"/>
        <w:rPr>
          <w:rFonts w:hint="eastAsia" w:ascii="宋体" w:hAnsi="宋体"/>
          <w:color w:val="FF0000"/>
          <w:w w:val="75"/>
          <w:sz w:val="50"/>
          <w:szCs w:val="50"/>
        </w:rPr>
      </w:pPr>
      <w:r>
        <w:rPr>
          <w:rFonts w:hint="eastAsia" w:ascii="宋体" w:hAnsi="宋体"/>
          <w:color w:val="FF0000"/>
          <w:w w:val="75"/>
          <w:sz w:val="50"/>
          <w:szCs w:val="50"/>
          <w:lang w:val="en-US" w:eastAsia="zh-CN"/>
        </w:rPr>
        <w:t>滕州市</w:t>
      </w:r>
      <w:r>
        <w:rPr>
          <w:rFonts w:hint="eastAsia" w:ascii="宋体" w:hAnsi="宋体"/>
          <w:color w:val="FF0000"/>
          <w:w w:val="75"/>
          <w:sz w:val="50"/>
          <w:szCs w:val="50"/>
        </w:rPr>
        <w:t>妇女联合会</w:t>
      </w:r>
    </w:p>
    <w:p>
      <w:pPr>
        <w:pStyle w:val="2"/>
        <w:snapToGrid/>
        <w:spacing w:line="600" w:lineRule="exact"/>
        <w:ind w:left="94" w:leftChars="45" w:right="55" w:rightChars="26"/>
        <w:jc w:val="distribute"/>
        <w:rPr>
          <w:rFonts w:hint="eastAsia" w:eastAsia="方正小标宋简体"/>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市行政审批服务局</w:t>
      </w:r>
    </w:p>
    <w:p>
      <w:pPr>
        <w:pStyle w:val="2"/>
        <w:snapToGrid/>
        <w:spacing w:line="600" w:lineRule="exact"/>
        <w:ind w:left="94" w:leftChars="45" w:right="55" w:rightChars="26"/>
        <w:jc w:val="distribute"/>
        <w:rPr>
          <w:rFonts w:hint="eastAsia" w:ascii="宋体" w:hAnsi="宋体" w:eastAsia="方正小标宋简体"/>
          <w:color w:val="FF0000"/>
          <w:w w:val="75"/>
          <w:sz w:val="50"/>
          <w:szCs w:val="50"/>
          <w:lang w:eastAsia="zh-CN"/>
        </w:rPr>
      </w:pPr>
      <w:r>
        <w:rPr>
          <w:rFonts w:hint="eastAsia" w:ascii="宋体" w:hAnsi="宋体"/>
          <w:color w:val="FF0000"/>
          <w:w w:val="75"/>
          <w:sz w:val="50"/>
          <w:szCs w:val="50"/>
          <w:lang w:val="en-US" w:eastAsia="zh-CN"/>
        </w:rPr>
        <w:t>滕州</w:t>
      </w:r>
      <w:r>
        <w:rPr>
          <w:rFonts w:hint="eastAsia" w:ascii="宋体" w:hAnsi="宋体"/>
          <w:color w:val="FF0000"/>
          <w:w w:val="75"/>
          <w:sz w:val="50"/>
          <w:szCs w:val="50"/>
          <w:lang w:eastAsia="zh-CN"/>
        </w:rPr>
        <w:t>市人民武装部政治工作科</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滕卫〔2023〕36号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eastAsia" w:ascii="宋体" w:hAnsi="宋体" w:eastAsia="方正小标宋简体"/>
          <w:color w:val="FF0000"/>
          <w:w w:val="75"/>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79375</wp:posOffset>
                </wp:positionV>
                <wp:extent cx="5800725" cy="0"/>
                <wp:effectExtent l="0" t="28575" r="952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7pt;margin-top:6.25pt;height:0pt;width:456.75pt;z-index:251660288;mso-width-relative:page;mso-height-relative:page;" filled="f" stroked="t" coordsize="21600,21600" o:gfxdata="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vFrydMAAAAIAQAADwAAAAAAAAABACAAAAAiAAAAZHJzL2Rvd25yZXYueG1sUEsBAhQAFAAAAAgA&#10;h07iQDMDKwTxAQAAvAMAAA4AAAAAAAAAAQAgAAAAIgEAAGRycy9lMm9Eb2MueG1sUEsFBgAAAAAG&#10;AAYAWQEAAIU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关于印发《开展严厉打击非法应用人类辅助生殖技术专项活动实施方案》的通知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各医疗卫生单位，各有关单位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为维护人民群众合法权益和正常生育秩序，保障人民群众身体健康和生命安全，根据</w:t>
      </w:r>
      <w:r>
        <w:rPr>
          <w:rFonts w:hint="eastAsia" w:ascii="仿宋_GB2312" w:hAnsi="仿宋_GB2312" w:eastAsia="仿宋_GB2312" w:cs="仿宋_GB2312"/>
          <w:color w:val="auto"/>
          <w:sz w:val="32"/>
          <w:szCs w:val="32"/>
          <w:lang w:eastAsia="zh-CN"/>
        </w:rPr>
        <w:t>山东省、</w:t>
      </w:r>
      <w:r>
        <w:rPr>
          <w:rFonts w:hint="eastAsia" w:ascii="仿宋_GB2312" w:hAnsi="仿宋_GB2312" w:eastAsia="仿宋_GB2312" w:cs="仿宋_GB2312"/>
          <w:color w:val="auto"/>
          <w:sz w:val="32"/>
          <w:szCs w:val="32"/>
          <w:lang w:val="en-US" w:eastAsia="zh-CN"/>
        </w:rPr>
        <w:t>枣庄市</w:t>
      </w:r>
      <w:r>
        <w:rPr>
          <w:rFonts w:hint="eastAsia" w:ascii="仿宋_GB2312" w:hAnsi="仿宋_GB2312" w:eastAsia="仿宋_GB2312" w:cs="仿宋_GB2312"/>
          <w:color w:val="auto"/>
          <w:sz w:val="32"/>
          <w:szCs w:val="32"/>
        </w:rPr>
        <w:t>《关于印发〈开展严厉打击非法应用人类辅助生殖技术专项活动实施方案〉的通知》</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color w:val="auto"/>
          <w:sz w:val="32"/>
          <w:szCs w:val="32"/>
          <w:lang w:eastAsia="zh-CN"/>
        </w:rPr>
        <w:t>，市卫生健康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等12个部门联合制定了我市《开展严厉打击非法应用人类辅助生殖技术专项活动实施方案》，现印发给你们，请认真组织实施。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lang w:val="en-US" w:eastAsia="zh-CN"/>
        </w:rPr>
        <w:t>周  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lang w:val="en-US" w:eastAsia="zh-CN"/>
        </w:rPr>
        <w:t>0632-5518007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公务邮箱：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"mailto:zzwjwfjk@zz.shandong.cn" </w:instrText>
      </w:r>
      <w:r>
        <w:rPr>
          <w:rFonts w:hint="eastAsia" w:ascii="仿宋_GB2312" w:hAnsi="仿宋_GB2312" w:eastAsia="仿宋_GB2312" w:cs="仿宋_GB2312"/>
          <w:color w:val="auto"/>
          <w:sz w:val="32"/>
          <w:szCs w:val="32"/>
          <w:u w:val="none"/>
          <w:lang w:val="en-US" w:eastAsia="zh-CN"/>
        </w:rPr>
        <w:fldChar w:fldCharType="separate"/>
      </w:r>
      <w:r>
        <w:rPr>
          <w:rStyle w:val="7"/>
          <w:rFonts w:hint="eastAsia" w:ascii="仿宋_GB2312" w:hAnsi="仿宋_GB2312" w:eastAsia="仿宋_GB2312" w:cs="仿宋_GB2312"/>
          <w:color w:val="auto"/>
          <w:sz w:val="32"/>
          <w:szCs w:val="32"/>
          <w:u w:val="none"/>
          <w:lang w:val="en-US" w:eastAsia="zh-CN"/>
        </w:rPr>
        <w:t>tzwjjzhzfjdk@zz.shandong.cn</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滕州市</w:t>
      </w:r>
      <w:r>
        <w:rPr>
          <w:rFonts w:hint="default" w:ascii="仿宋_GB2312" w:hAnsi="仿宋_GB2312" w:eastAsia="仿宋_GB2312" w:cs="仿宋_GB2312"/>
          <w:color w:val="auto"/>
          <w:sz w:val="32"/>
          <w:szCs w:val="32"/>
          <w:lang w:val="en-US" w:eastAsia="zh-CN"/>
        </w:rPr>
        <w:t>卫生健康</w:t>
      </w:r>
      <w:r>
        <w:rPr>
          <w:rFonts w:hint="eastAsia" w:ascii="仿宋_GB2312" w:hAnsi="仿宋_GB2312" w:eastAsia="仿宋_GB2312" w:cs="仿宋_GB2312"/>
          <w:color w:val="auto"/>
          <w:sz w:val="32"/>
          <w:szCs w:val="32"/>
          <w:lang w:val="en-US" w:eastAsia="zh-CN"/>
        </w:rPr>
        <w:t>局</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中共滕州市</w:t>
      </w:r>
      <w:r>
        <w:rPr>
          <w:rFonts w:hint="default" w:ascii="仿宋_GB2312" w:hAnsi="仿宋_GB2312" w:eastAsia="仿宋_GB2312" w:cs="仿宋_GB2312"/>
          <w:color w:val="auto"/>
          <w:sz w:val="32"/>
          <w:szCs w:val="32"/>
          <w:lang w:val="en-US" w:eastAsia="zh-CN"/>
        </w:rPr>
        <w:t>委政法委员会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中共滕州市</w:t>
      </w:r>
      <w:r>
        <w:rPr>
          <w:rFonts w:hint="default" w:ascii="仿宋_GB2312" w:hAnsi="仿宋_GB2312" w:eastAsia="仿宋_GB2312" w:cs="仿宋_GB2312"/>
          <w:color w:val="auto"/>
          <w:sz w:val="32"/>
          <w:szCs w:val="32"/>
          <w:lang w:val="en-US" w:eastAsia="zh-CN"/>
        </w:rPr>
        <w:t xml:space="preserve">委网信办          </w:t>
      </w:r>
      <w:r>
        <w:rPr>
          <w:rFonts w:hint="eastAsia" w:ascii="仿宋_GB2312" w:hAnsi="仿宋_GB2312" w:eastAsia="仿宋_GB2312" w:cs="仿宋_GB2312"/>
          <w:color w:val="auto"/>
          <w:sz w:val="32"/>
          <w:szCs w:val="32"/>
          <w:lang w:val="en-US" w:eastAsia="zh-CN"/>
        </w:rPr>
        <w:t xml:space="preserve">   滕州市</w:t>
      </w:r>
      <w:r>
        <w:rPr>
          <w:rFonts w:hint="default" w:ascii="仿宋_GB2312" w:hAnsi="仿宋_GB2312" w:eastAsia="仿宋_GB2312" w:cs="仿宋_GB2312"/>
          <w:color w:val="auto"/>
          <w:sz w:val="32"/>
          <w:szCs w:val="32"/>
          <w:lang w:val="en-US" w:eastAsia="zh-CN"/>
        </w:rPr>
        <w:t>人民法院</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滕州市</w:t>
      </w:r>
      <w:r>
        <w:rPr>
          <w:rFonts w:hint="default" w:ascii="仿宋_GB2312" w:hAnsi="仿宋_GB2312" w:eastAsia="仿宋_GB2312" w:cs="仿宋_GB2312"/>
          <w:color w:val="auto"/>
          <w:sz w:val="32"/>
          <w:szCs w:val="32"/>
          <w:lang w:val="en-US" w:eastAsia="zh-CN"/>
        </w:rPr>
        <w:t xml:space="preserve">人民检察院           </w:t>
      </w:r>
      <w:r>
        <w:rPr>
          <w:rFonts w:hint="eastAsia" w:ascii="仿宋_GB2312" w:hAnsi="仿宋_GB2312" w:eastAsia="仿宋_GB2312" w:cs="仿宋_GB2312"/>
          <w:color w:val="auto"/>
          <w:sz w:val="32"/>
          <w:szCs w:val="32"/>
          <w:lang w:val="en-US" w:eastAsia="zh-CN"/>
        </w:rPr>
        <w:t xml:space="preserve">  滕州市</w:t>
      </w:r>
      <w:r>
        <w:rPr>
          <w:rFonts w:hint="default"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lang w:val="en-US" w:eastAsia="zh-CN"/>
        </w:rPr>
        <w:t>和体育局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滕州市公安局                 滕州市民政局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滕州市</w:t>
      </w:r>
      <w:r>
        <w:rPr>
          <w:rFonts w:hint="default" w:ascii="仿宋_GB2312" w:hAnsi="仿宋_GB2312" w:eastAsia="仿宋_GB2312" w:cs="仿宋_GB2312"/>
          <w:color w:val="auto"/>
          <w:sz w:val="32"/>
          <w:szCs w:val="32"/>
          <w:lang w:val="en-US" w:eastAsia="zh-CN"/>
        </w:rPr>
        <w:t>市场监督管理局</w:t>
      </w:r>
      <w:r>
        <w:rPr>
          <w:rFonts w:hint="eastAsia" w:ascii="仿宋_GB2312" w:hAnsi="仿宋_GB2312" w:eastAsia="仿宋_GB2312" w:cs="仿宋_GB2312"/>
          <w:color w:val="auto"/>
          <w:sz w:val="32"/>
          <w:szCs w:val="32"/>
          <w:lang w:val="en-US" w:eastAsia="zh-CN"/>
        </w:rPr>
        <w:t xml:space="preserve">           滕州市妇女联合会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滕州市行政审批服务局       滕州市人民武装部政治工作科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2023年7月31日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（信息公开形式：主动公开）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开展严厉打击非法应用人类辅助生殖技术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专项活动实施方案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山东省、枣庄市《开展严厉打击非法应用人类辅助生殖技术专项活动实施方案》要求，规范人类辅助生殖技术的应用，打击买卖精子、买卖卵子、代孕、伪造和买卖出生医学证明等违法犯罪行为，切实维护人民群众身体健康和生命安全，维护妇女儿童合法权益，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一、提高思想认识，充分领会专项活动精神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人类辅助生殖技术服务需求快速增长。一些地方出现了非法开展人类辅助生殖技术、非法采供精、非法采供卵、非法鉴定胎儿性别、代孕等违法乱象，引发买卖和出具虚假出生医学证明、故意伤害、非法拘禁、拐卖妇女儿童等违法犯罪行为，严重扰乱生育秩序，践踏女性尊严，侵害人民群众健康权益。开展打击非法应用人类辅助生殖技术专项活动，是规范人类辅助生殖技术服务行为、维护正常生育秩序、保障人民群众健康安全的重要措施。各单位要坚持人民至上、生命至上，充分认识开展专项活动的重要性和紧迫性，迅速开展工作，务求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二、依法履职尽责，加强技术应用全链条管理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（一）加强人类辅助生殖技术管理。</w:t>
      </w:r>
      <w:r>
        <w:rPr>
          <w:rFonts w:hint="eastAsia" w:ascii="仿宋_GB2312" w:hAnsi="仿宋_GB2312" w:eastAsia="仿宋_GB2312" w:cs="仿宋_GB2312"/>
          <w:color w:val="auto"/>
          <w:sz w:val="32"/>
          <w:szCs w:val="32"/>
          <w:lang w:val="en-US" w:eastAsia="zh-CN"/>
        </w:rPr>
        <w:t>加大对医疗机构和医务人员违规开展人类辅助生殖技术的行政处罚力度，严格落实医疗机构主体责任，强化责任意识，切实加强机构内部技术和人员管理，定期组织开展机构内容自查和人员依法从业培训，严禁辅助生殖技术从业人员在不具备资质或者不具备相应技术类别的机构开展辅助生殖技术服务。严禁互联网医院开具属于药品网络销售禁止清单所列的辅助生殖常用药品处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（二）严格患者身份识别管理。</w:t>
      </w:r>
      <w:r>
        <w:rPr>
          <w:rFonts w:hint="eastAsia" w:ascii="仿宋_GB2312" w:hAnsi="仿宋_GB2312" w:eastAsia="仿宋_GB2312" w:cs="仿宋_GB2312"/>
          <w:color w:val="auto"/>
          <w:sz w:val="32"/>
          <w:szCs w:val="32"/>
          <w:lang w:val="en-US" w:eastAsia="zh-CN"/>
        </w:rPr>
        <w:t>经批准开展人类辅助生殖技术的医疗机构，应当落实患者身份识别制度，进一步加强身份识别管理，配备必要的身份识别硬件设施，至少包括身份证读卡器、生物识别系统（如指纹、脸像）等，并建立完善和逐步优化技术操作和服务流程，在患者取精、取卵、胚胎移植等关键环节快捷、安全地核实身份信息。医疗机构要建立健全宣传告知、定期自查和责任追究等内部管理制度，确保患者身份识别有序有效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（三）严格规范企业经营行为。</w:t>
      </w:r>
      <w:r>
        <w:rPr>
          <w:rFonts w:hint="eastAsia" w:ascii="仿宋_GB2312" w:hAnsi="仿宋_GB2312" w:eastAsia="仿宋_GB2312" w:cs="仿宋_GB2312"/>
          <w:color w:val="auto"/>
          <w:sz w:val="32"/>
          <w:szCs w:val="32"/>
          <w:lang w:val="en-US" w:eastAsia="zh-CN"/>
        </w:rPr>
        <w:t>拟从事人类辅助生殖技术相关经营活动的申请人，应当在营业执照登记环节如实使用“医疗服务”条目办理经营范围登记。在取得卫生健康行政部门人类辅助生殖技术许可前，不得从事人类辅助生殖技术活动。相关行政监管部门重点排查注册范围为医疗服务、健康咨询、母婴保健等公司，依法处置发现的违法商业营销宣传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（四）加强药品医疗器械管理。</w:t>
      </w:r>
      <w:r>
        <w:rPr>
          <w:rFonts w:hint="eastAsia" w:ascii="仿宋_GB2312" w:hAnsi="仿宋_GB2312" w:eastAsia="仿宋_GB2312" w:cs="仿宋_GB2312"/>
          <w:color w:val="auto"/>
          <w:sz w:val="32"/>
          <w:szCs w:val="32"/>
          <w:lang w:val="en-US" w:eastAsia="zh-CN"/>
        </w:rPr>
        <w:t>加强辅助生殖常用药品和医疗器械的质量监管，严厉打击无证生产和无证经营药品、医疗器械行为，严查通过伪造资质证明文件、出租出借证照等非法购进销售药品、医疗器械行为，督促企业做好生产、销售记录，严厉查处违法违规行为。常用药品包括枸橼酸克罗米酚（CC）、促性腺激素释放激素（GnRH）激动剂或拮抗剂、促卵泡激素（FSH）、促黄体生成素（LH）、人绒毛膜促性腺激素（HCG）、孕激素和雌激素等。常用辅助生殖器械包括胚胎移植管、辅助生殖穿刺取卵针、体外受精各阶段培养液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（五）建立健全投诉举报机制。</w:t>
      </w:r>
      <w:r>
        <w:rPr>
          <w:rFonts w:hint="eastAsia" w:ascii="仿宋_GB2312" w:hAnsi="仿宋_GB2312" w:eastAsia="仿宋_GB2312" w:cs="仿宋_GB2312"/>
          <w:color w:val="auto"/>
          <w:sz w:val="32"/>
          <w:szCs w:val="32"/>
          <w:lang w:val="en-US" w:eastAsia="zh-CN"/>
        </w:rPr>
        <w:t>加强对互联网上有关人类辅助生殖技术、出生医学证明相关服务的监管。依法查处利用互联网发布代孕、非法买卖卵子等相关信息及广告的违法违规互联网站（APP）。市级投诉举报电话为（0632-12345）。要通过报刊、网络等多种方式，向社会公布投诉举报电话，对群众反映的案件线索，认真调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（六）严厉打击违法行为。</w:t>
      </w:r>
      <w:r>
        <w:rPr>
          <w:rFonts w:hint="eastAsia" w:ascii="仿宋_GB2312" w:hAnsi="仿宋_GB2312" w:eastAsia="仿宋_GB2312" w:cs="仿宋_GB2312"/>
          <w:color w:val="auto"/>
          <w:sz w:val="32"/>
          <w:szCs w:val="32"/>
          <w:lang w:val="en-US" w:eastAsia="zh-CN"/>
        </w:rPr>
        <w:t>依法严厉打击非法应用人类辅助生殖技术的违法违规行为，对于存在违法违规行为的医疗机构和医务人员，应当追究医疗机构相关负责人和直接责任人员的法律责任，撤销所在机构辅助生殖技术资质，对医务人员视情形轻重，责令暂停执业活动，直至吊销其执业证书；构成犯罪的，依法追究刑事责任。对非医疗机构、非医务人员的违法行为予以严厉打击，情节严重、构成犯罪的，移送公安机关依法追究刑事责任。对出具虚假出生医学证明、买卖出生医学证明的违法行为，情节严重构成犯罪的，由公安机关依法追究刑事责任。严厉打击由非法应用人类辅助生殖技术引发的非法采集我国人类遗传资源、非法运送、邮寄、携带我国人类遗传资源材料出境等违法行为，对危害公众健康或者社会公共利益，严重危害国家人类遗传资源安全的犯罪行为，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三、密切协同配合，建立健全分工协作机制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各部门按照职责分工抓好日常监管工作，强化部门联动，加强协同配合，完善线索发现处理机制，健全信息沟通共享，严格监督执法，对重点案件开展联合督导督办。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（一）卫生健康行政部门：</w:t>
      </w:r>
      <w:r>
        <w:rPr>
          <w:rFonts w:hint="eastAsia" w:ascii="仿宋_GB2312" w:hAnsi="仿宋_GB2312" w:eastAsia="仿宋_GB2312" w:cs="仿宋_GB2312"/>
          <w:color w:val="auto"/>
          <w:sz w:val="32"/>
          <w:szCs w:val="32"/>
          <w:lang w:val="en-US" w:eastAsia="zh-CN"/>
        </w:rPr>
        <w:t>负责牵头组织各成员单位协调行动，负责组织对各级各类医疗机构开展人类辅助生殖技术服务的情况进行监管和核查，查处违法违规开展人类辅助生殖技术、采供精、采供卵和代孕相关服务的医疗机构和医护人员。加强行业监管，促进医疗机构和医护人员行为自律。对专项活动中发现的各种违法行为予以严厉打击，情节严重构成犯罪的，移送公安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（二）政法部门：</w:t>
      </w:r>
      <w:r>
        <w:rPr>
          <w:rFonts w:hint="eastAsia" w:ascii="仿宋_GB2312" w:hAnsi="仿宋_GB2312" w:eastAsia="仿宋_GB2312" w:cs="仿宋_GB2312"/>
          <w:color w:val="auto"/>
          <w:sz w:val="32"/>
          <w:szCs w:val="32"/>
          <w:lang w:val="en-US" w:eastAsia="zh-CN"/>
        </w:rPr>
        <w:t>充分发挥综合治理优势，形成联合打击违法违规开展人类辅助生殖技术应用的工作合力。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（三）网信部门：</w:t>
      </w:r>
      <w:r>
        <w:rPr>
          <w:rFonts w:hint="eastAsia" w:ascii="仿宋_GB2312" w:hAnsi="仿宋_GB2312" w:eastAsia="仿宋_GB2312" w:cs="仿宋_GB2312"/>
          <w:color w:val="auto"/>
          <w:sz w:val="32"/>
          <w:szCs w:val="32"/>
          <w:lang w:val="en-US" w:eastAsia="zh-CN"/>
        </w:rPr>
        <w:t>督促网站平台落实主体责任，配合相关部门及时清理非法辅助生殖技术违法违规信息，处置违法违规开展人类辅助生殖技术服务的网站平台。做好专项活动的网上宣传和舆论引导，形成良好舆论氛围。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（四）人民法院、人民检察院：</w:t>
      </w:r>
      <w:r>
        <w:rPr>
          <w:rFonts w:hint="eastAsia" w:ascii="仿宋_GB2312" w:hAnsi="仿宋_GB2312" w:eastAsia="仿宋_GB2312" w:cs="仿宋_GB2312"/>
          <w:color w:val="auto"/>
          <w:sz w:val="32"/>
          <w:szCs w:val="32"/>
          <w:lang w:val="en-US" w:eastAsia="zh-CN"/>
        </w:rPr>
        <w:t>会同卫生健康、公安等部门，对非法应用人类辅助生殖技术中涉嫌犯罪的行为依法严厉打击，共同完善重大案件会商机制，联合开展相关法律适用问题研究，为案件查处提供指导。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（五）公安机关：</w:t>
      </w:r>
      <w:r>
        <w:rPr>
          <w:rFonts w:hint="eastAsia" w:ascii="仿宋_GB2312" w:hAnsi="仿宋_GB2312" w:eastAsia="仿宋_GB2312" w:cs="仿宋_GB2312"/>
          <w:color w:val="auto"/>
          <w:sz w:val="32"/>
          <w:szCs w:val="32"/>
          <w:lang w:val="en-US" w:eastAsia="zh-CN"/>
        </w:rPr>
        <w:t>加强与有关行政主管部门的协作配合，依法严厉打击非法行医、伪造和买卖出生医学证明等违法犯罪行为。对工作中发现和有关部门移交的涉嫌犯罪案件开展调查，符合立案标准的一律依法立案，严厉打击。配合卫生健康行政部门指导医疗机构做好身份、指纹等设备的配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（六）教育部门：</w:t>
      </w:r>
      <w:r>
        <w:rPr>
          <w:rFonts w:hint="eastAsia" w:ascii="仿宋_GB2312" w:hAnsi="仿宋_GB2312" w:eastAsia="仿宋_GB2312" w:cs="仿宋_GB2312"/>
          <w:color w:val="auto"/>
          <w:sz w:val="32"/>
          <w:szCs w:val="32"/>
          <w:lang w:val="en-US" w:eastAsia="zh-CN"/>
        </w:rPr>
        <w:t>加强对学生生殖健康教育和卫生、健康等相关法律的普法宣传。将法治教育与健康教育有机结合，加强权益保护宣传，提升学生自我保护意识和法律素养。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（七）民政部门：</w:t>
      </w:r>
      <w:r>
        <w:rPr>
          <w:rFonts w:hint="eastAsia" w:ascii="仿宋_GB2312" w:hAnsi="仿宋_GB2312" w:eastAsia="仿宋_GB2312" w:cs="仿宋_GB2312"/>
          <w:color w:val="auto"/>
          <w:sz w:val="32"/>
          <w:szCs w:val="32"/>
          <w:lang w:val="en-US" w:eastAsia="zh-CN"/>
        </w:rPr>
        <w:t>严格履行依法收养登记职责，加强收养登记管理，推进婚姻家庭辅导服务工作。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（八）市场监督管理部门：</w:t>
      </w:r>
      <w:r>
        <w:rPr>
          <w:rFonts w:hint="eastAsia" w:ascii="仿宋_GB2312" w:hAnsi="仿宋_GB2312" w:eastAsia="仿宋_GB2312" w:cs="仿宋_GB2312"/>
          <w:color w:val="auto"/>
          <w:sz w:val="32"/>
          <w:szCs w:val="32"/>
          <w:lang w:val="en-US" w:eastAsia="zh-CN"/>
        </w:rPr>
        <w:t>依法查处涉及非法应用人类辅助生殖技术的违法商业营销宣传行为。依职责加强药品、医疗器械生产经营企业和使用单位的监督检查。对涉及人类辅助生殖技术相关药品、医疗器械的生产、流通环节产品质量进行监管，配合相关部门对使用相关药品、医疗器械开展非法应用人类辅助生殖技术的违法行为进行查处。配合卫生健康行政部门和公安机关做好查获的涉案药品、医疗器械的检验、鉴定等技术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（九）妇联：</w:t>
      </w:r>
      <w:r>
        <w:rPr>
          <w:rFonts w:hint="eastAsia" w:ascii="仿宋_GB2312" w:hAnsi="仿宋_GB2312" w:eastAsia="仿宋_GB2312" w:cs="仿宋_GB2312"/>
          <w:color w:val="auto"/>
          <w:sz w:val="32"/>
          <w:szCs w:val="32"/>
          <w:lang w:val="en-US" w:eastAsia="zh-CN"/>
        </w:rPr>
        <w:t>负责发挥组织优势，依托相关工作载体和阵地，加强法治宣传教育，引导广大妇女依法使用人类辅助生殖技术，依法维护自身权益。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（十）行政审批部门：</w:t>
      </w:r>
      <w:r>
        <w:rPr>
          <w:rFonts w:hint="eastAsia" w:ascii="仿宋_GB2312" w:hAnsi="仿宋_GB2312" w:eastAsia="仿宋_GB2312" w:cs="仿宋_GB2312"/>
          <w:color w:val="auto"/>
          <w:sz w:val="32"/>
          <w:szCs w:val="32"/>
          <w:lang w:val="en-US" w:eastAsia="zh-CN"/>
        </w:rPr>
        <w:t>负责规范人类辅助生殖技术审批和校验管理程序，严格依法审批、校验，不断完善医疗机构和人员的信息查询制度，强化信息互通。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（十一）</w:t>
      </w:r>
      <w:r>
        <w:rPr>
          <w:rFonts w:hint="eastAsia" w:ascii="楷体_GB2312" w:hAnsi="楷体_GB2312" w:eastAsia="楷体_GB2312" w:cs="楷体_GB2312"/>
          <w:color w:val="auto"/>
          <w:sz w:val="32"/>
          <w:szCs w:val="32"/>
          <w:lang w:eastAsia="zh-CN"/>
        </w:rPr>
        <w:t>人民武装部政治工作科：</w:t>
      </w:r>
      <w:r>
        <w:rPr>
          <w:rFonts w:hint="eastAsia" w:ascii="仿宋_GB2312" w:hAnsi="仿宋_GB2312" w:eastAsia="仿宋_GB2312" w:cs="仿宋_GB2312"/>
          <w:color w:val="auto"/>
          <w:sz w:val="32"/>
          <w:szCs w:val="32"/>
          <w:lang w:eastAsia="zh-CN"/>
        </w:rPr>
        <w:t>参照本通知同步执行。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四、压荏部署推进，分阶段开展专项活动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（一）集中行动阶段（7月-8月）。</w:t>
      </w:r>
      <w:r>
        <w:rPr>
          <w:rFonts w:hint="eastAsia" w:ascii="仿宋_GB2312" w:hAnsi="仿宋_GB2312" w:eastAsia="仿宋_GB2312" w:cs="仿宋_GB2312"/>
          <w:color w:val="auto"/>
          <w:sz w:val="32"/>
          <w:szCs w:val="32"/>
          <w:lang w:val="en-US" w:eastAsia="zh-CN"/>
        </w:rPr>
        <w:t>卫生健康部门牵头组织各相关部门按照本方案的职责分工，明确工作任务，建立工作机制，集中开展打击非法应用人类辅助生殖技术等违法犯罪行为专项活动，包括开展监督检查、案件查办和自查整改等工作。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（二）重点抽查阶段（9月-10月）。</w:t>
      </w:r>
      <w:r>
        <w:rPr>
          <w:rFonts w:hint="eastAsia" w:ascii="仿宋_GB2312" w:hAnsi="仿宋_GB2312" w:eastAsia="仿宋_GB2312" w:cs="仿宋_GB2312"/>
          <w:color w:val="auto"/>
          <w:sz w:val="32"/>
          <w:szCs w:val="32"/>
          <w:lang w:val="en-US" w:eastAsia="zh-CN"/>
        </w:rPr>
        <w:t>做好迎接上级组织的专项活动开展情况抽查，将专项活动开展情况纳入医疗卫生行业综合监管督察“回头看”，采取“四不两直”方式对辖区各有关单位专项活动开展情况进行暗访抽查。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（三）总结评估阶段（11月-12月）。</w:t>
      </w:r>
      <w:r>
        <w:rPr>
          <w:rFonts w:hint="eastAsia" w:ascii="仿宋_GB2312" w:hAnsi="仿宋_GB2312" w:eastAsia="仿宋_GB2312" w:cs="仿宋_GB2312"/>
          <w:color w:val="auto"/>
          <w:sz w:val="32"/>
          <w:szCs w:val="32"/>
          <w:lang w:val="en-US" w:eastAsia="zh-CN"/>
        </w:rPr>
        <w:t>做好专项活动总结，市直相关部门及时将本部门专项整治过程中的工作开展情况、工作成效、存在的问题和下一步打算反馈市卫生健康局。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五、提升工作标准，保障专项活动顺利开展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w:t>
      </w:r>
      <w:r>
        <w:rPr>
          <w:rFonts w:hint="eastAsia" w:ascii="仿宋_GB2312" w:hAnsi="仿宋_GB2312" w:eastAsia="仿宋_GB2312" w:cs="仿宋_GB2312"/>
          <w:color w:val="auto"/>
          <w:sz w:val="32"/>
          <w:szCs w:val="32"/>
          <w:lang w:val="en-US" w:eastAsia="zh-CN"/>
        </w:rPr>
        <w:t>各部门各单位要坚持以人民为中心发展理念，以对人民群众健康高度负责的态度，加强组织领导，抓紧部署实施，及时通报信息和工作进展，扎实开展专项活动，确保各项工作任务落到实处。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（二）加强协调配合。</w:t>
      </w:r>
      <w:r>
        <w:rPr>
          <w:rFonts w:hint="eastAsia" w:ascii="仿宋_GB2312" w:hAnsi="仿宋_GB2312" w:eastAsia="仿宋_GB2312" w:cs="仿宋_GB2312"/>
          <w:color w:val="auto"/>
          <w:sz w:val="32"/>
          <w:szCs w:val="32"/>
          <w:lang w:val="en-US" w:eastAsia="zh-CN"/>
        </w:rPr>
        <w:t>各有关部门要按照职责分工相互协作、密切配合。进一步完善部门联动工作机制，开展联合执法。对于工作中发现的涉及其他部门职责的案件线索，要及时通报和移交相应部门。接到投诉举报的，对属于本部门职责的要及时核查，依法严肃处理，并将处理结果及时反馈当事人；对属于其他部门职责的，要及时移送或通报相关部门核查处理。对上级联合督查组发现的问题要限期整改，</w:t>
      </w:r>
      <w:r>
        <w:rPr>
          <w:rFonts w:hint="eastAsia" w:ascii="仿宋_GB2312" w:hAnsi="仿宋_GB2312" w:eastAsia="仿宋_GB2312" w:cs="仿宋_GB2312"/>
          <w:color w:val="auto"/>
          <w:sz w:val="32"/>
          <w:szCs w:val="32"/>
          <w:shd w:val="clear"/>
          <w:lang w:val="en-US" w:eastAsia="zh-CN"/>
        </w:rPr>
        <w:t>对重要案件进行挂牌督办。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（三）加强长效监管。</w:t>
      </w:r>
      <w:r>
        <w:rPr>
          <w:rFonts w:hint="eastAsia" w:ascii="仿宋_GB2312" w:hAnsi="仿宋_GB2312" w:eastAsia="仿宋_GB2312" w:cs="仿宋_GB2312"/>
          <w:color w:val="auto"/>
          <w:sz w:val="32"/>
          <w:szCs w:val="32"/>
          <w:lang w:val="en-US" w:eastAsia="zh-CN"/>
        </w:rPr>
        <w:t>进一步建立完善由卫生健康行政部门牵头、相关部门参加的严厉打击非法应用人类辅助生殖技术违法行为长效工作机制，落实联合执法调查重大案件会商督办、案件移送、案件信息通报共享、舆情引导、有奖举报等行政执法协作机制。形成资源共享、信息互通、协作通畅的共管合力。各部门依职责将开展非法应用人类辅助生殖技术的违法行为纳入信用监管体系，建立违法犯罪机构、个人“黑名单”，将行政处罚信息记录到市场主体名下并通过国家企业信用信息公示系统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（四）加强宣传引导。</w:t>
      </w:r>
      <w:r>
        <w:rPr>
          <w:rFonts w:hint="eastAsia" w:ascii="仿宋_GB2312" w:hAnsi="仿宋_GB2312" w:eastAsia="仿宋_GB2312" w:cs="仿宋_GB2312"/>
          <w:color w:val="auto"/>
          <w:sz w:val="32"/>
          <w:szCs w:val="32"/>
          <w:lang w:val="en-US" w:eastAsia="zh-CN"/>
        </w:rPr>
        <w:t>通过多途径、多方式广泛开展生殖健康教育和普法宣传，强化正面宣传引导。宣传非法应用人类辅助生殖技术的危害，增强医疗机构、医务人员依法执业意识，提高群众安全就医意识和对违法行为的辨识能力。强化社会监督，拓宽投诉举报渠道，完善有奖举报制度。动员城乡社区社会组织和广大居民共同参与到专项活动中来，形成群防群治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各部门要于当月25日前，将本部门当月专项活动开展情况总结及专项活动汇总表（见附件）报市卫生健康局汇总，专项活动工作总结于2023年12月8日前报送（盖章PDF版和Word版）。重大问题随时报告。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附件：严厉打击非法应用人类辅助生殖技术专项活动汇总表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tabs>
          <w:tab w:val="left" w:pos="195"/>
        </w:tabs>
        <w:rPr>
          <w:rFonts w:hint="eastAsia" w:ascii="仿宋_GB2312" w:hAnsi="仿宋_GB2312" w:eastAsia="仿宋_GB2312" w:cs="仿宋_GB2312"/>
          <w:color w:val="auto"/>
          <w:sz w:val="32"/>
          <w:szCs w:val="32"/>
          <w:lang w:val="en-US" w:eastAsia="zh-CN"/>
        </w:rPr>
        <w:sectPr>
          <w:footerReference r:id="rId3" w:type="default"/>
          <w:pgSz w:w="11906" w:h="16838"/>
          <w:pgMar w:top="1701" w:right="1701" w:bottom="1701" w:left="1701" w:header="851" w:footer="992" w:gutter="0"/>
          <w:pgNumType w:fmt="numberInDash"/>
          <w:cols w:space="425" w:num="1"/>
          <w:docGrid w:type="lines" w:linePitch="312" w:charSpace="0"/>
        </w:sectPr>
      </w:pPr>
    </w:p>
    <w:p>
      <w:pPr>
        <w:widowControl/>
        <w:shd w:val="clear" w:color="auto"/>
        <w:spacing w:line="480" w:lineRule="atLeast"/>
        <w:jc w:val="left"/>
        <w:rPr>
          <w:rFonts w:ascii="宋体" w:hAnsi="宋体" w:eastAsia="黑体" w:cs="仿宋"/>
          <w:color w:val="auto"/>
          <w:kern w:val="0"/>
          <w:sz w:val="32"/>
          <w:szCs w:val="32"/>
        </w:rPr>
      </w:pPr>
      <w:r>
        <w:rPr>
          <w:rFonts w:hint="eastAsia" w:ascii="宋体" w:hAnsi="宋体" w:eastAsia="黑体" w:cs="仿宋"/>
          <w:color w:val="auto"/>
          <w:kern w:val="0"/>
          <w:sz w:val="32"/>
          <w:szCs w:val="32"/>
        </w:rPr>
        <w:t>附件</w:t>
      </w:r>
    </w:p>
    <w:p>
      <w:pPr>
        <w:widowControl/>
        <w:shd w:val="clear" w:color="auto"/>
        <w:spacing w:line="480" w:lineRule="atLeast"/>
        <w:jc w:val="center"/>
        <w:rPr>
          <w:rFonts w:hint="eastAsia" w:ascii="宋体" w:hAnsi="宋体" w:eastAsia="方正小标宋简体"/>
          <w:color w:val="auto"/>
          <w:sz w:val="21"/>
        </w:rPr>
      </w:pPr>
      <w:r>
        <w:rPr>
          <w:rFonts w:hint="eastAsia" w:ascii="宋体" w:hAnsi="宋体" w:eastAsia="方正小标宋简体" w:cstheme="majorEastAsia"/>
          <w:bCs/>
          <w:color w:val="auto"/>
          <w:kern w:val="0"/>
          <w:sz w:val="44"/>
          <w:szCs w:val="44"/>
        </w:rPr>
        <w:t>严厉打击非法应用人类辅助生殖技术专项活动汇总表</w:t>
      </w:r>
    </w:p>
    <w:p>
      <w:pPr>
        <w:tabs>
          <w:tab w:val="left" w:pos="195"/>
        </w:tabs>
        <w:rPr>
          <w:rFonts w:ascii="宋体" w:hAnsi="宋体" w:eastAsia="宋体"/>
          <w:color w:val="auto"/>
          <w:sz w:val="21"/>
          <w:u w:val="single"/>
        </w:rPr>
      </w:pPr>
      <w:r>
        <w:rPr>
          <w:rFonts w:hint="eastAsia" w:ascii="宋体" w:hAnsi="宋体" w:eastAsia="宋体"/>
          <w:b/>
          <w:color w:val="auto"/>
          <w:sz w:val="21"/>
        </w:rPr>
        <w:t xml:space="preserve">        </w:t>
      </w:r>
      <w:r>
        <w:rPr>
          <w:rFonts w:hint="eastAsia" w:ascii="宋体" w:hAnsi="宋体" w:eastAsia="宋体"/>
          <w:b/>
          <w:color w:val="auto"/>
          <w:sz w:val="21"/>
          <w:u w:val="single"/>
        </w:rPr>
        <w:t xml:space="preserve">              </w:t>
      </w:r>
      <w:r>
        <w:rPr>
          <w:rFonts w:hint="eastAsia" w:ascii="宋体" w:hAnsi="宋体" w:eastAsia="宋体"/>
          <w:b/>
          <w:color w:val="auto"/>
          <w:sz w:val="21"/>
        </w:rPr>
        <w:t xml:space="preserve"> </w:t>
      </w:r>
      <w:r>
        <w:rPr>
          <w:rFonts w:hint="eastAsia" w:ascii="宋体" w:hAnsi="宋体" w:eastAsia="宋体"/>
          <w:b/>
          <w:color w:val="auto"/>
          <w:sz w:val="21"/>
          <w:lang w:eastAsia="zh-CN"/>
        </w:rPr>
        <w:t>区（市）</w:t>
      </w:r>
      <w:r>
        <w:rPr>
          <w:rFonts w:hint="eastAsia" w:ascii="宋体" w:hAnsi="宋体" w:eastAsia="宋体"/>
          <w:b/>
          <w:color w:val="auto"/>
          <w:sz w:val="21"/>
        </w:rPr>
        <w:t xml:space="preserve">                                                   填表日期：</w:t>
      </w:r>
      <w:r>
        <w:rPr>
          <w:rFonts w:hint="eastAsia" w:ascii="宋体" w:hAnsi="宋体" w:eastAsia="宋体"/>
          <w:b/>
          <w:color w:val="auto"/>
          <w:sz w:val="21"/>
          <w:u w:val="single"/>
        </w:rPr>
        <w:t xml:space="preserve">        </w:t>
      </w:r>
      <w:r>
        <w:rPr>
          <w:rFonts w:hint="eastAsia" w:ascii="宋体" w:hAnsi="宋体" w:eastAsia="宋体"/>
          <w:b/>
          <w:color w:val="auto"/>
          <w:sz w:val="21"/>
        </w:rPr>
        <w:t>年</w:t>
      </w:r>
      <w:r>
        <w:rPr>
          <w:rFonts w:hint="eastAsia" w:ascii="宋体" w:hAnsi="宋体" w:eastAsia="宋体"/>
          <w:b/>
          <w:color w:val="auto"/>
          <w:sz w:val="21"/>
          <w:u w:val="single"/>
        </w:rPr>
        <w:t xml:space="preserve">      </w:t>
      </w:r>
      <w:r>
        <w:rPr>
          <w:rFonts w:hint="eastAsia" w:ascii="宋体" w:hAnsi="宋体" w:eastAsia="宋体"/>
          <w:b/>
          <w:color w:val="auto"/>
          <w:sz w:val="21"/>
        </w:rPr>
        <w:t>月</w:t>
      </w:r>
      <w:r>
        <w:rPr>
          <w:rFonts w:hint="eastAsia" w:ascii="宋体" w:hAnsi="宋体" w:eastAsia="宋体"/>
          <w:b/>
          <w:color w:val="auto"/>
          <w:sz w:val="21"/>
          <w:u w:val="single"/>
        </w:rPr>
        <w:t xml:space="preserve">    </w:t>
      </w:r>
      <w:r>
        <w:rPr>
          <w:rFonts w:hint="eastAsia" w:ascii="宋体" w:hAnsi="宋体" w:eastAsia="宋体"/>
          <w:b/>
          <w:color w:val="auto"/>
          <w:sz w:val="21"/>
        </w:rPr>
        <w:t xml:space="preserve"> 日      </w:t>
      </w:r>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873"/>
        <w:gridCol w:w="984"/>
        <w:gridCol w:w="955"/>
        <w:gridCol w:w="787"/>
        <w:gridCol w:w="1255"/>
        <w:gridCol w:w="1255"/>
        <w:gridCol w:w="1083"/>
        <w:gridCol w:w="1213"/>
        <w:gridCol w:w="1106"/>
        <w:gridCol w:w="99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44" w:type="dxa"/>
            <w:vMerge w:val="restart"/>
            <w:vAlign w:val="center"/>
          </w:tcPr>
          <w:p>
            <w:pPr>
              <w:spacing w:line="300" w:lineRule="exact"/>
              <w:ind w:firstLine="1260" w:firstLineChars="600"/>
              <w:rPr>
                <w:rFonts w:ascii="宋体" w:hAnsi="宋体" w:eastAsia="仿宋" w:cs="仿宋"/>
                <w:color w:val="auto"/>
                <w:sz w:val="18"/>
                <w:szCs w:val="18"/>
              </w:rPr>
            </w:pPr>
            <w:r>
              <w:rPr>
                <w:rFonts w:hint="eastAsia" w:ascii="宋体" w:hAnsi="宋体" w:eastAsia="仿宋" w:cs="仿宋"/>
                <w:color w:val="auto"/>
                <w:sz w:val="21"/>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8890</wp:posOffset>
                      </wp:positionV>
                      <wp:extent cx="1442720" cy="1043305"/>
                      <wp:effectExtent l="2540" t="3810" r="21590" b="19685"/>
                      <wp:wrapNone/>
                      <wp:docPr id="3" name="直接箭头连接符 3"/>
                      <wp:cNvGraphicFramePr/>
                      <a:graphic xmlns:a="http://schemas.openxmlformats.org/drawingml/2006/main">
                        <a:graphicData uri="http://schemas.microsoft.com/office/word/2010/wordprocessingShape">
                          <wps:wsp>
                            <wps:cNvCnPr/>
                            <wps:spPr>
                              <a:xfrm>
                                <a:off x="0" y="0"/>
                                <a:ext cx="1442720" cy="10433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4pt;margin-top:0.7pt;height:82.15pt;width:113.6pt;z-index:251661312;mso-width-relative:page;mso-height-relative:page;" filled="f" stroked="t" coordsize="21600,21600" o:gfxdata="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bZZB1wAAAAkBAAAPAAAAAAAAAAEAIAAAACIAAABkcnMvZG93&#10;bnJldi54bWxQSwECFAAUAAAACACHTuJATYiyEgECAADy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eastAsia="仿宋" w:cs="仿宋"/>
                <w:color w:val="auto"/>
                <w:sz w:val="18"/>
                <w:szCs w:val="18"/>
              </w:rPr>
              <w:t>机构及</w:t>
            </w:r>
          </w:p>
          <w:p>
            <w:pPr>
              <w:spacing w:line="300" w:lineRule="exact"/>
              <w:ind w:firstLine="1260" w:firstLineChars="700"/>
              <w:rPr>
                <w:rFonts w:ascii="宋体" w:hAnsi="宋体" w:eastAsia="仿宋" w:cs="仿宋"/>
                <w:color w:val="auto"/>
                <w:sz w:val="18"/>
                <w:szCs w:val="18"/>
              </w:rPr>
            </w:pPr>
            <w:r>
              <w:rPr>
                <w:rFonts w:hint="eastAsia" w:ascii="宋体" w:hAnsi="宋体" w:eastAsia="仿宋" w:cs="仿宋"/>
                <w:color w:val="auto"/>
                <w:sz w:val="18"/>
                <w:szCs w:val="18"/>
              </w:rPr>
              <w:t>案件分类</w:t>
            </w:r>
          </w:p>
          <w:p>
            <w:pPr>
              <w:tabs>
                <w:tab w:val="left" w:pos="195"/>
              </w:tabs>
              <w:spacing w:line="300" w:lineRule="exact"/>
              <w:jc w:val="center"/>
              <w:rPr>
                <w:rFonts w:ascii="宋体" w:hAnsi="宋体" w:eastAsia="仿宋" w:cs="仿宋"/>
                <w:color w:val="auto"/>
                <w:sz w:val="21"/>
              </w:rPr>
            </w:pPr>
          </w:p>
          <w:p>
            <w:pPr>
              <w:tabs>
                <w:tab w:val="left" w:pos="195"/>
              </w:tabs>
              <w:spacing w:line="300" w:lineRule="exact"/>
              <w:rPr>
                <w:rFonts w:ascii="宋体" w:hAnsi="宋体" w:eastAsia="仿宋" w:cs="仿宋"/>
                <w:color w:val="auto"/>
                <w:sz w:val="21"/>
              </w:rPr>
            </w:pPr>
          </w:p>
          <w:p>
            <w:pPr>
              <w:rPr>
                <w:rFonts w:ascii="宋体" w:hAnsi="宋体" w:eastAsia="仿宋" w:cs="仿宋"/>
                <w:color w:val="auto"/>
                <w:sz w:val="21"/>
              </w:rPr>
            </w:pPr>
            <w:r>
              <w:rPr>
                <w:rFonts w:hint="eastAsia" w:ascii="宋体" w:hAnsi="宋体" w:eastAsia="仿宋" w:cs="仿宋"/>
                <w:color w:val="auto"/>
                <w:sz w:val="18"/>
                <w:szCs w:val="18"/>
              </w:rPr>
              <w:t>处理情况</w:t>
            </w:r>
          </w:p>
        </w:tc>
        <w:tc>
          <w:tcPr>
            <w:tcW w:w="873" w:type="dxa"/>
            <w:vMerge w:val="restart"/>
            <w:vAlign w:val="center"/>
          </w:tcPr>
          <w:p>
            <w:pPr>
              <w:tabs>
                <w:tab w:val="left" w:pos="195"/>
              </w:tabs>
              <w:spacing w:line="300" w:lineRule="exact"/>
              <w:jc w:val="center"/>
              <w:rPr>
                <w:rFonts w:ascii="宋体" w:hAnsi="宋体" w:eastAsia="仿宋" w:cs="仿宋"/>
                <w:color w:val="auto"/>
                <w:sz w:val="18"/>
                <w:szCs w:val="18"/>
              </w:rPr>
            </w:pPr>
            <w:r>
              <w:rPr>
                <w:rFonts w:hint="eastAsia" w:ascii="宋体" w:hAnsi="宋体" w:eastAsia="仿宋" w:cs="仿宋"/>
                <w:color w:val="auto"/>
                <w:sz w:val="18"/>
                <w:szCs w:val="18"/>
              </w:rPr>
              <w:t>技术准入机构</w:t>
            </w:r>
          </w:p>
        </w:tc>
        <w:tc>
          <w:tcPr>
            <w:tcW w:w="2726" w:type="dxa"/>
            <w:gridSpan w:val="3"/>
            <w:vAlign w:val="center"/>
          </w:tcPr>
          <w:p>
            <w:pPr>
              <w:tabs>
                <w:tab w:val="left" w:pos="195"/>
              </w:tabs>
              <w:spacing w:line="300" w:lineRule="exact"/>
              <w:jc w:val="center"/>
              <w:rPr>
                <w:rFonts w:ascii="宋体" w:hAnsi="宋体" w:eastAsia="仿宋" w:cs="仿宋"/>
                <w:color w:val="auto"/>
                <w:kern w:val="0"/>
                <w:sz w:val="18"/>
                <w:szCs w:val="18"/>
              </w:rPr>
            </w:pPr>
            <w:r>
              <w:rPr>
                <w:rFonts w:hint="eastAsia" w:ascii="宋体" w:hAnsi="宋体" w:eastAsia="仿宋" w:cs="仿宋"/>
                <w:color w:val="auto"/>
                <w:sz w:val="18"/>
                <w:szCs w:val="18"/>
              </w:rPr>
              <w:t>非技术准入机构</w:t>
            </w:r>
          </w:p>
        </w:tc>
        <w:tc>
          <w:tcPr>
            <w:tcW w:w="1255" w:type="dxa"/>
            <w:vMerge w:val="restart"/>
            <w:vAlign w:val="center"/>
          </w:tcPr>
          <w:p>
            <w:pPr>
              <w:tabs>
                <w:tab w:val="left" w:pos="195"/>
              </w:tabs>
              <w:spacing w:line="300" w:lineRule="exact"/>
              <w:jc w:val="center"/>
              <w:rPr>
                <w:rFonts w:ascii="宋体" w:hAnsi="宋体" w:eastAsia="仿宋" w:cs="仿宋"/>
                <w:color w:val="auto"/>
                <w:kern w:val="0"/>
                <w:sz w:val="18"/>
                <w:szCs w:val="18"/>
              </w:rPr>
            </w:pPr>
            <w:r>
              <w:rPr>
                <w:rFonts w:hint="eastAsia" w:ascii="宋体" w:hAnsi="宋体" w:eastAsia="仿宋" w:cs="仿宋"/>
                <w:color w:val="auto"/>
                <w:kern w:val="0"/>
                <w:sz w:val="18"/>
                <w:szCs w:val="18"/>
              </w:rPr>
              <w:t>未配备身份识别设备</w:t>
            </w:r>
          </w:p>
        </w:tc>
        <w:tc>
          <w:tcPr>
            <w:tcW w:w="1255" w:type="dxa"/>
            <w:vMerge w:val="restart"/>
            <w:vAlign w:val="center"/>
          </w:tcPr>
          <w:p>
            <w:pPr>
              <w:tabs>
                <w:tab w:val="left" w:pos="195"/>
              </w:tabs>
              <w:spacing w:line="300" w:lineRule="exact"/>
              <w:jc w:val="center"/>
              <w:rPr>
                <w:rFonts w:ascii="宋体" w:hAnsi="宋体" w:eastAsia="仿宋" w:cs="仿宋"/>
                <w:color w:val="auto"/>
                <w:sz w:val="18"/>
                <w:szCs w:val="18"/>
                <w:u w:val="single"/>
              </w:rPr>
            </w:pPr>
            <w:r>
              <w:rPr>
                <w:rFonts w:hint="eastAsia" w:ascii="宋体" w:hAnsi="宋体" w:eastAsia="仿宋" w:cs="仿宋"/>
                <w:color w:val="auto"/>
                <w:kern w:val="0"/>
                <w:sz w:val="18"/>
                <w:szCs w:val="18"/>
              </w:rPr>
              <w:t>未经批准开展人类辅助生殖技术</w:t>
            </w:r>
          </w:p>
        </w:tc>
        <w:tc>
          <w:tcPr>
            <w:tcW w:w="1083" w:type="dxa"/>
            <w:vMerge w:val="restart"/>
            <w:vAlign w:val="center"/>
          </w:tcPr>
          <w:p>
            <w:pPr>
              <w:tabs>
                <w:tab w:val="left" w:pos="195"/>
              </w:tabs>
              <w:spacing w:line="300" w:lineRule="exact"/>
              <w:jc w:val="center"/>
              <w:rPr>
                <w:rFonts w:ascii="宋体" w:hAnsi="宋体" w:eastAsia="仿宋" w:cs="仿宋"/>
                <w:color w:val="auto"/>
                <w:sz w:val="18"/>
                <w:szCs w:val="18"/>
              </w:rPr>
            </w:pPr>
            <w:r>
              <w:rPr>
                <w:rFonts w:hint="eastAsia" w:ascii="宋体" w:hAnsi="宋体" w:eastAsia="仿宋" w:cs="仿宋"/>
                <w:color w:val="auto"/>
                <w:sz w:val="18"/>
                <w:szCs w:val="18"/>
              </w:rPr>
              <w:t>非法采供卵、采供精</w:t>
            </w:r>
          </w:p>
        </w:tc>
        <w:tc>
          <w:tcPr>
            <w:tcW w:w="1213" w:type="dxa"/>
            <w:vMerge w:val="restart"/>
            <w:vAlign w:val="center"/>
          </w:tcPr>
          <w:p>
            <w:pPr>
              <w:tabs>
                <w:tab w:val="left" w:pos="195"/>
              </w:tabs>
              <w:spacing w:line="300" w:lineRule="exact"/>
              <w:jc w:val="center"/>
              <w:rPr>
                <w:rFonts w:ascii="宋体" w:hAnsi="宋体" w:eastAsia="仿宋" w:cs="仿宋"/>
                <w:color w:val="auto"/>
                <w:kern w:val="0"/>
                <w:sz w:val="18"/>
                <w:szCs w:val="18"/>
              </w:rPr>
            </w:pPr>
            <w:r>
              <w:rPr>
                <w:rFonts w:hint="eastAsia" w:ascii="宋体" w:hAnsi="宋体" w:eastAsia="仿宋" w:cs="仿宋"/>
                <w:color w:val="auto"/>
                <w:kern w:val="0"/>
                <w:sz w:val="18"/>
                <w:szCs w:val="18"/>
              </w:rPr>
              <w:t>非法开具出生医学证明</w:t>
            </w:r>
          </w:p>
        </w:tc>
        <w:tc>
          <w:tcPr>
            <w:tcW w:w="1106" w:type="dxa"/>
            <w:vMerge w:val="restart"/>
            <w:vAlign w:val="center"/>
          </w:tcPr>
          <w:p>
            <w:pPr>
              <w:tabs>
                <w:tab w:val="left" w:pos="195"/>
              </w:tabs>
              <w:spacing w:line="300" w:lineRule="exact"/>
              <w:jc w:val="center"/>
              <w:rPr>
                <w:rFonts w:ascii="宋体" w:hAnsi="宋体" w:eastAsia="仿宋" w:cs="仿宋"/>
                <w:color w:val="auto"/>
                <w:kern w:val="0"/>
                <w:sz w:val="18"/>
                <w:szCs w:val="18"/>
              </w:rPr>
            </w:pPr>
            <w:r>
              <w:rPr>
                <w:rFonts w:hint="eastAsia" w:ascii="宋体" w:hAnsi="宋体" w:eastAsia="仿宋" w:cs="仿宋"/>
                <w:color w:val="auto"/>
                <w:kern w:val="0"/>
                <w:sz w:val="18"/>
                <w:szCs w:val="18"/>
              </w:rPr>
              <w:t>非法进行性别鉴定</w:t>
            </w:r>
          </w:p>
        </w:tc>
        <w:tc>
          <w:tcPr>
            <w:tcW w:w="997" w:type="dxa"/>
            <w:vMerge w:val="restart"/>
            <w:vAlign w:val="center"/>
          </w:tcPr>
          <w:p>
            <w:pPr>
              <w:tabs>
                <w:tab w:val="left" w:pos="195"/>
              </w:tabs>
              <w:spacing w:line="300" w:lineRule="exact"/>
              <w:jc w:val="center"/>
              <w:rPr>
                <w:rFonts w:ascii="宋体" w:hAnsi="宋体" w:eastAsia="仿宋" w:cs="仿宋"/>
                <w:color w:val="auto"/>
                <w:sz w:val="18"/>
                <w:szCs w:val="18"/>
                <w:u w:val="single"/>
              </w:rPr>
            </w:pPr>
            <w:r>
              <w:rPr>
                <w:rFonts w:hint="eastAsia" w:ascii="宋体" w:hAnsi="宋体" w:eastAsia="仿宋" w:cs="仿宋"/>
                <w:color w:val="auto"/>
                <w:kern w:val="0"/>
                <w:sz w:val="18"/>
                <w:szCs w:val="18"/>
              </w:rPr>
              <w:t>涉嫌开展“代孕”</w:t>
            </w:r>
          </w:p>
        </w:tc>
        <w:tc>
          <w:tcPr>
            <w:tcW w:w="1423" w:type="dxa"/>
            <w:vMerge w:val="restart"/>
            <w:vAlign w:val="center"/>
          </w:tcPr>
          <w:p>
            <w:pPr>
              <w:widowControl/>
              <w:spacing w:line="300" w:lineRule="exact"/>
              <w:jc w:val="center"/>
              <w:rPr>
                <w:rFonts w:ascii="宋体" w:hAnsi="宋体" w:eastAsia="仿宋" w:cs="仿宋"/>
                <w:color w:val="auto"/>
                <w:kern w:val="0"/>
                <w:sz w:val="18"/>
                <w:szCs w:val="18"/>
              </w:rPr>
            </w:pPr>
            <w:r>
              <w:rPr>
                <w:rFonts w:hint="eastAsia" w:ascii="宋体" w:hAnsi="宋体" w:eastAsia="仿宋" w:cs="仿宋"/>
                <w:color w:val="auto"/>
                <w:kern w:val="0"/>
                <w:sz w:val="18"/>
                <w:szCs w:val="18"/>
              </w:rPr>
              <w:t>查处违法违规发布相关宣传信息、广告（含互联网、APP）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44" w:type="dxa"/>
            <w:vMerge w:val="continue"/>
            <w:vAlign w:val="center"/>
          </w:tcPr>
          <w:p>
            <w:pPr>
              <w:tabs>
                <w:tab w:val="left" w:pos="195"/>
              </w:tabs>
              <w:spacing w:line="300" w:lineRule="exact"/>
              <w:jc w:val="center"/>
              <w:rPr>
                <w:rFonts w:ascii="宋体" w:hAnsi="宋体" w:eastAsia="仿宋" w:cs="仿宋"/>
                <w:color w:val="auto"/>
                <w:sz w:val="21"/>
                <w:u w:val="single"/>
              </w:rPr>
            </w:pPr>
          </w:p>
        </w:tc>
        <w:tc>
          <w:tcPr>
            <w:tcW w:w="873" w:type="dxa"/>
            <w:vMerge w:val="continue"/>
            <w:vAlign w:val="center"/>
          </w:tcPr>
          <w:p>
            <w:pPr>
              <w:tabs>
                <w:tab w:val="left" w:pos="195"/>
              </w:tabs>
              <w:spacing w:line="300" w:lineRule="exact"/>
              <w:jc w:val="center"/>
              <w:rPr>
                <w:rFonts w:ascii="宋体" w:hAnsi="宋体" w:eastAsia="仿宋" w:cs="仿宋"/>
                <w:color w:val="auto"/>
                <w:sz w:val="21"/>
              </w:rPr>
            </w:pPr>
          </w:p>
        </w:tc>
        <w:tc>
          <w:tcPr>
            <w:tcW w:w="984" w:type="dxa"/>
            <w:vAlign w:val="center"/>
          </w:tcPr>
          <w:p>
            <w:pPr>
              <w:tabs>
                <w:tab w:val="left" w:pos="195"/>
              </w:tabs>
              <w:spacing w:line="300" w:lineRule="exact"/>
              <w:jc w:val="center"/>
              <w:rPr>
                <w:rFonts w:ascii="宋体" w:hAnsi="宋体" w:eastAsia="仿宋" w:cs="仿宋"/>
                <w:color w:val="auto"/>
                <w:sz w:val="18"/>
                <w:szCs w:val="18"/>
              </w:rPr>
            </w:pPr>
            <w:r>
              <w:rPr>
                <w:rFonts w:hint="eastAsia" w:ascii="宋体" w:hAnsi="宋体" w:eastAsia="仿宋" w:cs="仿宋"/>
                <w:color w:val="auto"/>
                <w:sz w:val="18"/>
                <w:szCs w:val="18"/>
              </w:rPr>
              <w:t>医疗机构</w:t>
            </w:r>
          </w:p>
        </w:tc>
        <w:tc>
          <w:tcPr>
            <w:tcW w:w="955" w:type="dxa"/>
            <w:vAlign w:val="center"/>
          </w:tcPr>
          <w:p>
            <w:pPr>
              <w:tabs>
                <w:tab w:val="left" w:pos="195"/>
              </w:tabs>
              <w:spacing w:line="300" w:lineRule="exact"/>
              <w:jc w:val="center"/>
              <w:rPr>
                <w:rFonts w:ascii="宋体" w:hAnsi="宋体" w:eastAsia="仿宋" w:cs="仿宋"/>
                <w:color w:val="auto"/>
                <w:sz w:val="18"/>
                <w:szCs w:val="18"/>
              </w:rPr>
            </w:pPr>
            <w:r>
              <w:rPr>
                <w:rFonts w:hint="eastAsia" w:ascii="宋体" w:hAnsi="宋体" w:eastAsia="仿宋" w:cs="仿宋"/>
                <w:color w:val="auto"/>
                <w:sz w:val="18"/>
                <w:szCs w:val="18"/>
              </w:rPr>
              <w:t>其他机构</w:t>
            </w:r>
          </w:p>
        </w:tc>
        <w:tc>
          <w:tcPr>
            <w:tcW w:w="787" w:type="dxa"/>
            <w:vAlign w:val="center"/>
          </w:tcPr>
          <w:p>
            <w:pPr>
              <w:tabs>
                <w:tab w:val="left" w:pos="195"/>
              </w:tabs>
              <w:spacing w:line="300" w:lineRule="exact"/>
              <w:jc w:val="center"/>
              <w:rPr>
                <w:rFonts w:ascii="宋体" w:hAnsi="宋体" w:eastAsia="仿宋" w:cs="仿宋"/>
                <w:color w:val="auto"/>
                <w:sz w:val="18"/>
                <w:szCs w:val="18"/>
              </w:rPr>
            </w:pPr>
            <w:r>
              <w:rPr>
                <w:rFonts w:hint="eastAsia" w:ascii="宋体" w:hAnsi="宋体" w:eastAsia="仿宋" w:cs="仿宋"/>
                <w:color w:val="auto"/>
                <w:sz w:val="18"/>
                <w:szCs w:val="18"/>
              </w:rPr>
              <w:t>合计</w:t>
            </w:r>
          </w:p>
        </w:tc>
        <w:tc>
          <w:tcPr>
            <w:tcW w:w="1255"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1255"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1083"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1213"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1106"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997" w:type="dxa"/>
            <w:vMerge w:val="continue"/>
            <w:vAlign w:val="center"/>
          </w:tcPr>
          <w:p>
            <w:pPr>
              <w:tabs>
                <w:tab w:val="left" w:pos="195"/>
              </w:tabs>
              <w:spacing w:line="300" w:lineRule="exact"/>
              <w:jc w:val="center"/>
              <w:rPr>
                <w:rFonts w:ascii="宋体" w:hAnsi="宋体" w:eastAsia="仿宋" w:cs="仿宋"/>
                <w:color w:val="auto"/>
                <w:kern w:val="0"/>
                <w:sz w:val="18"/>
                <w:szCs w:val="18"/>
              </w:rPr>
            </w:pPr>
          </w:p>
        </w:tc>
        <w:tc>
          <w:tcPr>
            <w:tcW w:w="1423" w:type="dxa"/>
            <w:vMerge w:val="continue"/>
            <w:vAlign w:val="center"/>
          </w:tcPr>
          <w:p>
            <w:pPr>
              <w:widowControl/>
              <w:spacing w:line="300" w:lineRule="exact"/>
              <w:jc w:val="center"/>
              <w:rPr>
                <w:rFonts w:ascii="宋体" w:hAnsi="宋体" w:eastAsia="仿宋" w:cs="仿宋"/>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检查对象数</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rPr>
            </w:pPr>
          </w:p>
        </w:tc>
        <w:tc>
          <w:tcPr>
            <w:tcW w:w="955" w:type="dxa"/>
          </w:tcPr>
          <w:p>
            <w:pPr>
              <w:tabs>
                <w:tab w:val="left" w:pos="195"/>
              </w:tabs>
              <w:rPr>
                <w:rFonts w:ascii="宋体" w:hAnsi="宋体" w:eastAsia="仿宋" w:cs="仿宋"/>
                <w:color w:val="auto"/>
                <w:sz w:val="21"/>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案件数</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rPr>
            </w:pPr>
          </w:p>
        </w:tc>
        <w:tc>
          <w:tcPr>
            <w:tcW w:w="955" w:type="dxa"/>
          </w:tcPr>
          <w:p>
            <w:pPr>
              <w:tabs>
                <w:tab w:val="left" w:pos="195"/>
              </w:tabs>
              <w:rPr>
                <w:rFonts w:ascii="宋体" w:hAnsi="宋体" w:eastAsia="仿宋" w:cs="仿宋"/>
                <w:color w:val="auto"/>
                <w:sz w:val="21"/>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责令改正数</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rPr>
            </w:pPr>
          </w:p>
        </w:tc>
        <w:tc>
          <w:tcPr>
            <w:tcW w:w="955" w:type="dxa"/>
          </w:tcPr>
          <w:p>
            <w:pPr>
              <w:tabs>
                <w:tab w:val="left" w:pos="195"/>
              </w:tabs>
              <w:rPr>
                <w:rFonts w:ascii="宋体" w:hAnsi="宋体" w:eastAsia="仿宋" w:cs="仿宋"/>
                <w:color w:val="auto"/>
                <w:sz w:val="21"/>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警告数</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ind w:firstLine="210" w:firstLineChars="100"/>
              <w:rPr>
                <w:rFonts w:ascii="宋体" w:hAnsi="宋体" w:eastAsia="仿宋" w:cs="仿宋"/>
                <w:color w:val="auto"/>
                <w:sz w:val="21"/>
              </w:rPr>
            </w:pPr>
            <w:r>
              <w:rPr>
                <w:rFonts w:hint="eastAsia" w:ascii="宋体" w:hAnsi="宋体" w:eastAsia="仿宋" w:cs="仿宋"/>
                <w:color w:val="auto"/>
                <w:sz w:val="21"/>
              </w:rPr>
              <w:t>罚款户（人）次</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罚款金额（万元）</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没收违法所得（万元）</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责令停业整顿户数</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吊销行政许可资质</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移送相关部门</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244" w:type="dxa"/>
            <w:vAlign w:val="center"/>
          </w:tcPr>
          <w:p>
            <w:pPr>
              <w:tabs>
                <w:tab w:val="left" w:pos="195"/>
              </w:tabs>
              <w:jc w:val="center"/>
              <w:rPr>
                <w:rFonts w:ascii="宋体" w:hAnsi="宋体" w:eastAsia="仿宋" w:cs="仿宋"/>
                <w:color w:val="auto"/>
                <w:sz w:val="21"/>
              </w:rPr>
            </w:pPr>
            <w:r>
              <w:rPr>
                <w:rFonts w:hint="eastAsia" w:ascii="宋体" w:hAnsi="宋体" w:eastAsia="仿宋" w:cs="仿宋"/>
                <w:color w:val="auto"/>
                <w:sz w:val="21"/>
              </w:rPr>
              <w:t>移送司法机关</w:t>
            </w:r>
          </w:p>
        </w:tc>
        <w:tc>
          <w:tcPr>
            <w:tcW w:w="873" w:type="dxa"/>
          </w:tcPr>
          <w:p>
            <w:pPr>
              <w:tabs>
                <w:tab w:val="left" w:pos="195"/>
              </w:tabs>
              <w:rPr>
                <w:rFonts w:ascii="宋体" w:hAnsi="宋体" w:eastAsia="仿宋" w:cs="仿宋"/>
                <w:color w:val="auto"/>
                <w:sz w:val="21"/>
                <w:u w:val="single"/>
              </w:rPr>
            </w:pPr>
          </w:p>
        </w:tc>
        <w:tc>
          <w:tcPr>
            <w:tcW w:w="984" w:type="dxa"/>
          </w:tcPr>
          <w:p>
            <w:pPr>
              <w:tabs>
                <w:tab w:val="left" w:pos="195"/>
              </w:tabs>
              <w:rPr>
                <w:rFonts w:ascii="宋体" w:hAnsi="宋体" w:eastAsia="仿宋" w:cs="仿宋"/>
                <w:color w:val="auto"/>
                <w:sz w:val="21"/>
                <w:u w:val="single"/>
              </w:rPr>
            </w:pPr>
          </w:p>
        </w:tc>
        <w:tc>
          <w:tcPr>
            <w:tcW w:w="955" w:type="dxa"/>
          </w:tcPr>
          <w:p>
            <w:pPr>
              <w:tabs>
                <w:tab w:val="left" w:pos="195"/>
              </w:tabs>
              <w:rPr>
                <w:rFonts w:ascii="宋体" w:hAnsi="宋体" w:eastAsia="仿宋" w:cs="仿宋"/>
                <w:color w:val="auto"/>
                <w:sz w:val="21"/>
                <w:u w:val="single"/>
              </w:rPr>
            </w:pPr>
          </w:p>
        </w:tc>
        <w:tc>
          <w:tcPr>
            <w:tcW w:w="787"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255" w:type="dxa"/>
          </w:tcPr>
          <w:p>
            <w:pPr>
              <w:tabs>
                <w:tab w:val="left" w:pos="195"/>
              </w:tabs>
              <w:rPr>
                <w:rFonts w:ascii="宋体" w:hAnsi="宋体" w:eastAsia="仿宋" w:cs="仿宋"/>
                <w:color w:val="auto"/>
                <w:sz w:val="21"/>
                <w:u w:val="single"/>
              </w:rPr>
            </w:pPr>
          </w:p>
        </w:tc>
        <w:tc>
          <w:tcPr>
            <w:tcW w:w="1083" w:type="dxa"/>
          </w:tcPr>
          <w:p>
            <w:pPr>
              <w:tabs>
                <w:tab w:val="left" w:pos="195"/>
              </w:tabs>
              <w:rPr>
                <w:rFonts w:ascii="宋体" w:hAnsi="宋体" w:eastAsia="仿宋" w:cs="仿宋"/>
                <w:color w:val="auto"/>
                <w:sz w:val="21"/>
                <w:u w:val="single"/>
              </w:rPr>
            </w:pPr>
          </w:p>
        </w:tc>
        <w:tc>
          <w:tcPr>
            <w:tcW w:w="1213" w:type="dxa"/>
          </w:tcPr>
          <w:p>
            <w:pPr>
              <w:tabs>
                <w:tab w:val="left" w:pos="195"/>
              </w:tabs>
              <w:rPr>
                <w:rFonts w:ascii="宋体" w:hAnsi="宋体" w:eastAsia="仿宋" w:cs="仿宋"/>
                <w:color w:val="auto"/>
                <w:sz w:val="21"/>
                <w:u w:val="single"/>
              </w:rPr>
            </w:pPr>
          </w:p>
        </w:tc>
        <w:tc>
          <w:tcPr>
            <w:tcW w:w="1106" w:type="dxa"/>
          </w:tcPr>
          <w:p>
            <w:pPr>
              <w:tabs>
                <w:tab w:val="left" w:pos="195"/>
              </w:tabs>
              <w:rPr>
                <w:rFonts w:ascii="宋体" w:hAnsi="宋体" w:eastAsia="仿宋" w:cs="仿宋"/>
                <w:color w:val="auto"/>
                <w:sz w:val="21"/>
                <w:u w:val="single"/>
              </w:rPr>
            </w:pPr>
          </w:p>
        </w:tc>
        <w:tc>
          <w:tcPr>
            <w:tcW w:w="997" w:type="dxa"/>
          </w:tcPr>
          <w:p>
            <w:pPr>
              <w:tabs>
                <w:tab w:val="left" w:pos="195"/>
              </w:tabs>
              <w:rPr>
                <w:rFonts w:ascii="宋体" w:hAnsi="宋体" w:eastAsia="仿宋" w:cs="仿宋"/>
                <w:color w:val="auto"/>
                <w:sz w:val="21"/>
                <w:u w:val="single"/>
              </w:rPr>
            </w:pPr>
          </w:p>
        </w:tc>
        <w:tc>
          <w:tcPr>
            <w:tcW w:w="1423" w:type="dxa"/>
          </w:tcPr>
          <w:p>
            <w:pPr>
              <w:tabs>
                <w:tab w:val="left" w:pos="195"/>
              </w:tabs>
              <w:rPr>
                <w:rFonts w:ascii="宋体" w:hAnsi="宋体" w:eastAsia="仿宋" w:cs="仿宋"/>
                <w:color w:val="auto"/>
                <w:sz w:val="21"/>
                <w:u w:val="single"/>
              </w:rPr>
            </w:pPr>
          </w:p>
        </w:tc>
      </w:tr>
    </w:tbl>
    <w:p>
      <w:pPr>
        <w:tabs>
          <w:tab w:val="left" w:pos="195"/>
        </w:tabs>
        <w:ind w:firstLine="1050" w:firstLineChars="500"/>
        <w:rPr>
          <w:rFonts w:hint="eastAsia" w:ascii="仿宋_GB2312" w:hAnsi="仿宋_GB2312" w:eastAsia="仿宋_GB2312" w:cs="仿宋_GB2312"/>
          <w:sz w:val="32"/>
          <w:szCs w:val="32"/>
          <w:lang w:val="en-US" w:eastAsia="zh-CN"/>
        </w:rPr>
      </w:pPr>
      <w:r>
        <w:rPr>
          <w:rFonts w:hint="eastAsia" w:ascii="宋体" w:hAnsi="宋体" w:eastAsia="仿宋" w:cs="仿宋"/>
          <w:bCs/>
          <w:color w:val="auto"/>
          <w:sz w:val="21"/>
        </w:rPr>
        <w:t>填表人：</w:t>
      </w:r>
      <w:r>
        <w:rPr>
          <w:rFonts w:hint="eastAsia" w:ascii="宋体" w:hAnsi="宋体" w:eastAsia="仿宋" w:cs="仿宋"/>
          <w:bCs/>
          <w:color w:val="auto"/>
          <w:sz w:val="21"/>
          <w:u w:val="single"/>
        </w:rPr>
        <w:t xml:space="preserve">              </w:t>
      </w:r>
      <w:r>
        <w:rPr>
          <w:rFonts w:hint="eastAsia" w:ascii="宋体" w:hAnsi="宋体" w:eastAsia="仿宋" w:cs="仿宋"/>
          <w:b/>
          <w:color w:val="auto"/>
          <w:sz w:val="21"/>
        </w:rPr>
        <w:t xml:space="preserve">                   </w:t>
      </w:r>
      <w:r>
        <w:rPr>
          <w:rFonts w:hint="eastAsia" w:ascii="宋体" w:hAnsi="宋体" w:eastAsia="仿宋" w:cs="仿宋"/>
          <w:color w:val="auto"/>
          <w:sz w:val="21"/>
        </w:rPr>
        <w:t>联系方式：</w:t>
      </w:r>
      <w:r>
        <w:rPr>
          <w:rFonts w:hint="eastAsia" w:ascii="宋体" w:hAnsi="宋体" w:eastAsia="仿宋" w:cs="仿宋"/>
          <w:color w:val="auto"/>
          <w:sz w:val="21"/>
          <w:u w:val="single"/>
        </w:rPr>
        <w:t xml:space="preserve">                </w:t>
      </w:r>
      <w:r>
        <w:rPr>
          <w:rFonts w:hint="eastAsia" w:ascii="宋体" w:hAnsi="宋体" w:eastAsia="仿宋" w:cs="仿宋"/>
          <w:color w:val="auto"/>
          <w:sz w:val="21"/>
        </w:rPr>
        <w:t xml:space="preserve">           </w:t>
      </w:r>
      <w:r>
        <w:rPr>
          <w:rFonts w:hint="eastAsia" w:ascii="宋体" w:hAnsi="宋体" w:eastAsia="仿宋" w:cs="仿宋"/>
          <w:sz w:val="21"/>
        </w:rPr>
        <w:t xml:space="preserve">         单位负责人（签字）：</w:t>
      </w:r>
      <w:r>
        <w:rPr>
          <w:rFonts w:hint="eastAsia" w:ascii="宋体" w:hAnsi="宋体" w:eastAsia="仿宋" w:cs="仿宋"/>
          <w:sz w:val="21"/>
          <w:u w:val="single"/>
        </w:rPr>
        <w:t xml:space="preserve">           </w:t>
      </w:r>
    </w:p>
    <w:sectPr>
      <w:footerReference r:id="rId4" w:type="even"/>
      <w:pgSz w:w="16838" w:h="11906" w:orient="landscape"/>
      <w:pgMar w:top="1219" w:right="1440" w:bottom="1219" w:left="1440" w:header="851" w:footer="851" w:gutter="0"/>
      <w:pgNumType w:fmt="numberInDash"/>
      <w:cols w:space="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A26853-A276-4B39-AE4D-C19DF45F3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1D00B8-7C9D-4418-A9E6-74BFAED54A77}"/>
  </w:font>
  <w:font w:name="方正小标宋简体">
    <w:panose1 w:val="03000509000000000000"/>
    <w:charset w:val="86"/>
    <w:family w:val="auto"/>
    <w:pitch w:val="default"/>
    <w:sig w:usb0="00000001" w:usb1="080E0000" w:usb2="00000000" w:usb3="00000000" w:csb0="00040000" w:csb1="00000000"/>
    <w:embedRegular r:id="rId3" w:fontKey="{B6010D8B-2AC7-4176-A34F-5FC3C6D69E90}"/>
  </w:font>
  <w:font w:name="仿宋_GB2312">
    <w:panose1 w:val="02010609030101010101"/>
    <w:charset w:val="86"/>
    <w:family w:val="modern"/>
    <w:pitch w:val="default"/>
    <w:sig w:usb0="00000001" w:usb1="080E0000" w:usb2="00000000" w:usb3="00000000" w:csb0="00040000" w:csb1="00000000"/>
    <w:embedRegular r:id="rId4" w:fontKey="{3ACD9846-535C-4ED3-BBC1-299C6682AF97}"/>
  </w:font>
  <w:font w:name="楷体_GB2312">
    <w:panose1 w:val="02010609030101010101"/>
    <w:charset w:val="86"/>
    <w:family w:val="auto"/>
    <w:pitch w:val="default"/>
    <w:sig w:usb0="00000001" w:usb1="080E0000" w:usb2="00000000" w:usb3="00000000" w:csb0="00040000" w:csb1="00000000"/>
    <w:embedRegular r:id="rId5" w:fontKey="{915B4373-8FF9-423A-890D-BCF74D2027FD}"/>
  </w:font>
  <w:font w:name="仿宋">
    <w:panose1 w:val="02010609060101010101"/>
    <w:charset w:val="86"/>
    <w:family w:val="modern"/>
    <w:pitch w:val="default"/>
    <w:sig w:usb0="800002BF" w:usb1="38CF7CFA" w:usb2="00000016" w:usb3="00000000" w:csb0="00040001" w:csb1="00000000"/>
    <w:embedRegular r:id="rId6" w:fontKey="{3F8F69D5-4BD0-4F71-BBBD-996FA58C7B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cstheme="majorBidi"/>
        <w:sz w:val="28"/>
        <w:szCs w:val="28"/>
        <w:lang w:val="zh-CN"/>
      </w:rPr>
      <w:t>12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NTllNTM0N2E1ODFhZmZhYTExNmMzMGMwOGRjODgifQ=="/>
  </w:docVars>
  <w:rsids>
    <w:rsidRoot w:val="00000000"/>
    <w:rsid w:val="00064FE8"/>
    <w:rsid w:val="003550AC"/>
    <w:rsid w:val="00584C1B"/>
    <w:rsid w:val="01477CD1"/>
    <w:rsid w:val="0182293D"/>
    <w:rsid w:val="01956027"/>
    <w:rsid w:val="019762E5"/>
    <w:rsid w:val="02024F9C"/>
    <w:rsid w:val="02176B4D"/>
    <w:rsid w:val="03C54FD5"/>
    <w:rsid w:val="05474DF7"/>
    <w:rsid w:val="05F410AA"/>
    <w:rsid w:val="07377333"/>
    <w:rsid w:val="0A4601F6"/>
    <w:rsid w:val="0A817EB9"/>
    <w:rsid w:val="0C1741FF"/>
    <w:rsid w:val="0FB96D88"/>
    <w:rsid w:val="12824D88"/>
    <w:rsid w:val="13522F2F"/>
    <w:rsid w:val="149F2FE4"/>
    <w:rsid w:val="15E45152"/>
    <w:rsid w:val="160B370C"/>
    <w:rsid w:val="17EF1B5C"/>
    <w:rsid w:val="18AA0265"/>
    <w:rsid w:val="1BD80AA0"/>
    <w:rsid w:val="1CED6FE2"/>
    <w:rsid w:val="1D7A6489"/>
    <w:rsid w:val="1DAE4F9B"/>
    <w:rsid w:val="20AB6A77"/>
    <w:rsid w:val="211B3C32"/>
    <w:rsid w:val="21EE6679"/>
    <w:rsid w:val="231F4C56"/>
    <w:rsid w:val="239F090A"/>
    <w:rsid w:val="24113F10"/>
    <w:rsid w:val="28CA2574"/>
    <w:rsid w:val="2AC86446"/>
    <w:rsid w:val="2B6D334E"/>
    <w:rsid w:val="2F1A79DF"/>
    <w:rsid w:val="2F7B4F4F"/>
    <w:rsid w:val="328A51AB"/>
    <w:rsid w:val="35042256"/>
    <w:rsid w:val="35215A7D"/>
    <w:rsid w:val="36D13079"/>
    <w:rsid w:val="37D111DD"/>
    <w:rsid w:val="39D65D39"/>
    <w:rsid w:val="3B332639"/>
    <w:rsid w:val="3B842D81"/>
    <w:rsid w:val="3F3D7E04"/>
    <w:rsid w:val="430B099E"/>
    <w:rsid w:val="438862DB"/>
    <w:rsid w:val="4436254A"/>
    <w:rsid w:val="44382288"/>
    <w:rsid w:val="46007F8B"/>
    <w:rsid w:val="467F3640"/>
    <w:rsid w:val="46D6477E"/>
    <w:rsid w:val="49FB2E52"/>
    <w:rsid w:val="4A282AF1"/>
    <w:rsid w:val="4B4E1755"/>
    <w:rsid w:val="4B933509"/>
    <w:rsid w:val="4D180522"/>
    <w:rsid w:val="50B45146"/>
    <w:rsid w:val="524B181C"/>
    <w:rsid w:val="52F7756C"/>
    <w:rsid w:val="53DD5AE7"/>
    <w:rsid w:val="543F2D91"/>
    <w:rsid w:val="545C55A7"/>
    <w:rsid w:val="54A63A44"/>
    <w:rsid w:val="55992A17"/>
    <w:rsid w:val="55C84191"/>
    <w:rsid w:val="56292132"/>
    <w:rsid w:val="56AA5540"/>
    <w:rsid w:val="57747B59"/>
    <w:rsid w:val="588C62FB"/>
    <w:rsid w:val="58FE4CED"/>
    <w:rsid w:val="5C9A3C37"/>
    <w:rsid w:val="5DFB006A"/>
    <w:rsid w:val="5E227B93"/>
    <w:rsid w:val="5E8643AB"/>
    <w:rsid w:val="60DD4245"/>
    <w:rsid w:val="61750921"/>
    <w:rsid w:val="624B3430"/>
    <w:rsid w:val="65155CF8"/>
    <w:rsid w:val="653C3A21"/>
    <w:rsid w:val="65F6740A"/>
    <w:rsid w:val="66377785"/>
    <w:rsid w:val="6687288D"/>
    <w:rsid w:val="68831B76"/>
    <w:rsid w:val="691505CB"/>
    <w:rsid w:val="6A5D1F52"/>
    <w:rsid w:val="6B795473"/>
    <w:rsid w:val="6D51509E"/>
    <w:rsid w:val="6DE85FD7"/>
    <w:rsid w:val="6E14501E"/>
    <w:rsid w:val="6F1119BE"/>
    <w:rsid w:val="706A5E1D"/>
    <w:rsid w:val="708B5462"/>
    <w:rsid w:val="71B2150C"/>
    <w:rsid w:val="71F4319C"/>
    <w:rsid w:val="720B57C9"/>
    <w:rsid w:val="722F0678"/>
    <w:rsid w:val="727F59CD"/>
    <w:rsid w:val="729C539E"/>
    <w:rsid w:val="72C94629"/>
    <w:rsid w:val="73DB2274"/>
    <w:rsid w:val="75BB43EF"/>
    <w:rsid w:val="786E6BC2"/>
    <w:rsid w:val="79AD57E2"/>
    <w:rsid w:val="7A62237E"/>
    <w:rsid w:val="7D1612AC"/>
    <w:rsid w:val="7DB9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napToGrid w:val="0"/>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4611</Words>
  <Characters>4694</Characters>
  <Lines>0</Lines>
  <Paragraphs>0</Paragraphs>
  <TotalTime>11</TotalTime>
  <ScaleCrop>false</ScaleCrop>
  <LinksUpToDate>false</LinksUpToDate>
  <CharactersWithSpaces>4980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2023-07-27T01:11:00Z</dcterms:created>
  <dc:creator>Administrator</dc:creator>
  <cp:lastModifiedBy>冬日暖阳</cp:lastModifiedBy>
  <cp:lastPrinted>2023-08-02T07:34:00Z</cp:lastPrinted>
  <dcterms:modified xsi:type="dcterms:W3CDTF">2023-08-18T09:11:24Z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D121BB29B627407CB9A3FFE07AB01DAA_13</vt:lpwstr>
  </property>
</Properties>
</file>